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F7" w:rsidRPr="008E189F" w:rsidRDefault="001F76F7" w:rsidP="00615B08">
      <w:pPr>
        <w:spacing w:after="0" w:line="240" w:lineRule="auto"/>
        <w:jc w:val="right"/>
        <w:outlineLvl w:val="0"/>
        <w:rPr>
          <w:b/>
        </w:rPr>
      </w:pPr>
      <w:bookmarkStart w:id="0" w:name="_GoBack"/>
      <w:r w:rsidRPr="008E189F">
        <w:rPr>
          <w:b/>
        </w:rPr>
        <w:t xml:space="preserve">CAPITULO N° </w:t>
      </w:r>
      <w:r w:rsidR="008E189F" w:rsidRPr="008E189F">
        <w:rPr>
          <w:b/>
        </w:rPr>
        <w:t>6 MEDIDAS DE PREVENCIÓN, MITIGACIÓN O CORRECCIÓN DE LOS IMPACTOS AMBIENTALES</w:t>
      </w:r>
      <w:bookmarkEnd w:id="0"/>
    </w:p>
    <w:p w:rsidR="001F76F7" w:rsidRPr="008E189F" w:rsidRDefault="001F76F7" w:rsidP="001F76F7">
      <w:pPr>
        <w:spacing w:after="0" w:line="240" w:lineRule="auto"/>
        <w:jc w:val="right"/>
        <w:rPr>
          <w:b/>
        </w:rPr>
      </w:pPr>
    </w:p>
    <w:p w:rsidR="008E189F" w:rsidRDefault="008E189F" w:rsidP="004245FB">
      <w:pPr>
        <w:shd w:val="clear" w:color="auto" w:fill="FFFFFF"/>
        <w:spacing w:after="0" w:line="240" w:lineRule="auto"/>
        <w:jc w:val="both"/>
      </w:pPr>
      <w:r w:rsidRPr="008E189F">
        <w:t>Es el conjunto de medidas diseñadas con la finalidad de prevenir y reducir los impactos</w:t>
      </w:r>
      <w:r>
        <w:t xml:space="preserve"> ambientales sobre el e</w:t>
      </w:r>
      <w:r w:rsidRPr="008E189F">
        <w:t>ntorno del proyecto. La política a seguir debe estar basada en</w:t>
      </w:r>
      <w:r>
        <w:t xml:space="preserve"> </w:t>
      </w:r>
      <w:r w:rsidRPr="008E189F">
        <w:t>realizar el trabajo con precaución y evitar daños innecesarios, lo que debe</w:t>
      </w:r>
      <w:r>
        <w:t xml:space="preserve"> </w:t>
      </w:r>
      <w:r w:rsidRPr="008E189F">
        <w:t>complementarse con el cumplimiento de una buena planificación de cada una de las</w:t>
      </w:r>
      <w:r>
        <w:t xml:space="preserve"> </w:t>
      </w:r>
      <w:r w:rsidRPr="008E189F">
        <w:t>actividades del proyecto.</w:t>
      </w:r>
    </w:p>
    <w:p w:rsidR="008E189F" w:rsidRDefault="008E189F" w:rsidP="004245FB">
      <w:pPr>
        <w:shd w:val="clear" w:color="auto" w:fill="FFFFFF"/>
        <w:spacing w:after="0" w:line="240" w:lineRule="auto"/>
        <w:jc w:val="both"/>
      </w:pPr>
    </w:p>
    <w:p w:rsidR="00B246E2" w:rsidRPr="00B246E2" w:rsidRDefault="00B246E2" w:rsidP="004245FB">
      <w:pPr>
        <w:shd w:val="clear" w:color="auto" w:fill="FFFFFF"/>
        <w:spacing w:after="0" w:line="240" w:lineRule="auto"/>
        <w:jc w:val="both"/>
        <w:rPr>
          <w:b/>
        </w:rPr>
      </w:pPr>
      <w:r w:rsidRPr="00B246E2">
        <w:rPr>
          <w:b/>
        </w:rPr>
        <w:t>6.1. Medidas De Prevención, Mitigación O Corrección De Los Impactos Ambientales</w:t>
      </w:r>
    </w:p>
    <w:p w:rsidR="006E0D8B" w:rsidRDefault="006E0D8B" w:rsidP="004245FB">
      <w:pPr>
        <w:shd w:val="clear" w:color="auto" w:fill="FFFFFF"/>
        <w:spacing w:after="0" w:line="240" w:lineRule="auto"/>
        <w:jc w:val="both"/>
      </w:pPr>
      <w:r w:rsidRPr="006E0D8B">
        <w:t xml:space="preserve">En el siguiente Cuadro </w:t>
      </w:r>
      <w:r>
        <w:t xml:space="preserve">N°6-1 </w:t>
      </w:r>
      <w:r w:rsidRPr="006E0D8B">
        <w:t>se presenta el resumen de las medidas de prevención</w:t>
      </w:r>
      <w:r>
        <w:t>, corrección</w:t>
      </w:r>
      <w:r w:rsidRPr="006E0D8B">
        <w:t xml:space="preserve"> y/o</w:t>
      </w:r>
      <w:r>
        <w:t xml:space="preserve"> </w:t>
      </w:r>
      <w:r w:rsidRPr="006E0D8B">
        <w:t>mitigación propuestas, ordenadas según actividad causante, elemento ambiental</w:t>
      </w:r>
      <w:r>
        <w:t xml:space="preserve"> </w:t>
      </w:r>
      <w:r w:rsidRPr="006E0D8B">
        <w:t>potencialmente afectado y lugar de ocurrencia.</w:t>
      </w:r>
    </w:p>
    <w:p w:rsidR="006E0D8B" w:rsidRPr="006E0D8B" w:rsidRDefault="006E0D8B" w:rsidP="006E0D8B">
      <w:pPr>
        <w:shd w:val="clear" w:color="auto" w:fill="FFFFFF"/>
        <w:spacing w:after="0" w:line="240" w:lineRule="auto"/>
      </w:pPr>
    </w:p>
    <w:p w:rsidR="006E0D8B" w:rsidRPr="006E0D8B" w:rsidRDefault="006E0D8B" w:rsidP="006E0D8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114"/>
          <w:szCs w:val="114"/>
          <w:lang w:eastAsia="es-PE"/>
        </w:rPr>
      </w:pPr>
      <w:r w:rsidRPr="006E0D8B">
        <w:rPr>
          <w:b/>
        </w:rPr>
        <w:t>Cuadro N° 6-1 Medidas a Implementar</w: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1390"/>
        <w:gridCol w:w="1712"/>
        <w:gridCol w:w="1161"/>
        <w:gridCol w:w="1177"/>
        <w:gridCol w:w="3172"/>
      </w:tblGrid>
      <w:tr w:rsidR="00343ABB" w:rsidRPr="006E0D8B" w:rsidTr="00434FC2">
        <w:trPr>
          <w:tblHeader/>
        </w:trPr>
        <w:tc>
          <w:tcPr>
            <w:tcW w:w="0" w:type="auto"/>
            <w:shd w:val="clear" w:color="auto" w:fill="95B3D7" w:themeFill="accent1" w:themeFillTint="99"/>
            <w:vAlign w:val="center"/>
          </w:tcPr>
          <w:p w:rsidR="008E189F" w:rsidRPr="00343ABB" w:rsidRDefault="006E0D8B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Etapa</w:t>
            </w:r>
          </w:p>
        </w:tc>
        <w:tc>
          <w:tcPr>
            <w:tcW w:w="0" w:type="auto"/>
            <w:shd w:val="clear" w:color="auto" w:fill="95B3D7" w:themeFill="accent1" w:themeFillTint="99"/>
            <w:vAlign w:val="center"/>
          </w:tcPr>
          <w:p w:rsidR="008E189F" w:rsidRPr="00343ABB" w:rsidRDefault="006E0D8B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Impacto Ambiental</w:t>
            </w:r>
          </w:p>
        </w:tc>
        <w:tc>
          <w:tcPr>
            <w:tcW w:w="0" w:type="auto"/>
            <w:shd w:val="clear" w:color="auto" w:fill="95B3D7" w:themeFill="accent1" w:themeFillTint="99"/>
            <w:vAlign w:val="center"/>
          </w:tcPr>
          <w:p w:rsidR="008E189F" w:rsidRPr="00343ABB" w:rsidRDefault="006E0D8B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Medio al que Afecta</w:t>
            </w:r>
          </w:p>
        </w:tc>
        <w:tc>
          <w:tcPr>
            <w:tcW w:w="0" w:type="auto"/>
            <w:shd w:val="clear" w:color="auto" w:fill="95B3D7" w:themeFill="accent1" w:themeFillTint="99"/>
            <w:vAlign w:val="center"/>
          </w:tcPr>
          <w:p w:rsidR="008E189F" w:rsidRPr="00343ABB" w:rsidRDefault="006E0D8B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Tipo de Medida</w:t>
            </w:r>
          </w:p>
        </w:tc>
        <w:tc>
          <w:tcPr>
            <w:tcW w:w="3172" w:type="dxa"/>
            <w:shd w:val="clear" w:color="auto" w:fill="95B3D7" w:themeFill="accent1" w:themeFillTint="99"/>
            <w:vAlign w:val="center"/>
          </w:tcPr>
          <w:p w:rsidR="008E189F" w:rsidRPr="00343ABB" w:rsidRDefault="006E0D8B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Medida Propuesta</w:t>
            </w:r>
          </w:p>
        </w:tc>
      </w:tr>
      <w:tr w:rsidR="00343ABB" w:rsidRPr="006E0D8B" w:rsidTr="00343ABB">
        <w:tc>
          <w:tcPr>
            <w:tcW w:w="0" w:type="auto"/>
            <w:vMerge w:val="restart"/>
            <w:vAlign w:val="center"/>
          </w:tcPr>
          <w:p w:rsidR="008E189F" w:rsidRPr="00343ABB" w:rsidRDefault="008E189F" w:rsidP="00343AB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Construcción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aire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Prevención</w:t>
            </w:r>
          </w:p>
        </w:tc>
        <w:tc>
          <w:tcPr>
            <w:tcW w:w="3172" w:type="dxa"/>
            <w:vAlign w:val="center"/>
          </w:tcPr>
          <w:p w:rsidR="008E189F" w:rsidRPr="008A2E05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8A2E05">
              <w:rPr>
                <w:rFonts w:cstheme="minorHAnsi"/>
                <w:sz w:val="18"/>
                <w:szCs w:val="18"/>
              </w:rPr>
              <w:t>Riegos interdiari</w:t>
            </w:r>
            <w:r w:rsidR="00EB714E" w:rsidRPr="008A2E05">
              <w:rPr>
                <w:rFonts w:cstheme="minorHAnsi"/>
                <w:sz w:val="18"/>
                <w:szCs w:val="18"/>
              </w:rPr>
              <w:t>o</w:t>
            </w:r>
            <w:r w:rsidRPr="008A2E05">
              <w:rPr>
                <w:rFonts w:cstheme="minorHAnsi"/>
                <w:sz w:val="18"/>
                <w:szCs w:val="18"/>
              </w:rPr>
              <w:t>s sobre la superficie de la cantera, botadero, accesos y en la propia obra.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El transporte del material de cantera y excedente, debe estar cubierto por una malla húmeda.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Todos los vehículos y equipos a utilizarse deben pasar su mantenimiento, con su respectiva medición certificada de gases.</w:t>
            </w:r>
          </w:p>
        </w:tc>
      </w:tr>
      <w:tr w:rsidR="00343ABB" w:rsidRPr="006E0D8B" w:rsidTr="00343ABB">
        <w:trPr>
          <w:trHeight w:val="328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Generación de ruido</w:t>
            </w: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Mitigación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Está prohibido uso de sirenas, otro tipo de fuentes de ruido innecesarias. Su uso es sólo para casos de emergencia.</w:t>
            </w:r>
          </w:p>
        </w:tc>
      </w:tr>
      <w:tr w:rsidR="00343ABB" w:rsidRPr="006E0D8B" w:rsidTr="00343ABB">
        <w:trPr>
          <w:trHeight w:val="328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Todos los trabajadores deberán usar adecuadamente sus EPP.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suelo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Instalación de contenedores de residuos sólidos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Afectación a la calidad del agua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Evitar rodar innecesariamente con la maquinaria por el cauce del rio.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Charlas al personal sobre el cuidado en los trabajos cerca del rio.</w:t>
            </w:r>
          </w:p>
        </w:tc>
      </w:tr>
      <w:tr w:rsidR="00343ABB" w:rsidRPr="006E0D8B" w:rsidTr="00343ABB">
        <w:trPr>
          <w:trHeight w:val="492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Perdida de cobertura vegetal</w:t>
            </w: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Biológico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Charlas a los trabajadores sobre el desbroce innecesario de la vegetación.</w:t>
            </w:r>
          </w:p>
        </w:tc>
      </w:tr>
      <w:tr w:rsidR="00343ABB" w:rsidRPr="006E0D8B" w:rsidTr="00343ABB">
        <w:trPr>
          <w:trHeight w:val="492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Correctivo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Reposición de cobertura vegetal en el área afectada.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Afectación a la salud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Social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Preventivos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Instalación de carteles informativos y preventivos en el área de la obra.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Se deberá cumplir con todas las disposiciones sobre salud ocupacional y prevención de accidentes.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Todos los trabajadores deberán usar adecuadamente sus EPP.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Cercar el área de trabajo y no permitir el acceso a personal no autorizado.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Contar con servicio médico y un botiquín de primeros auxilios.</w:t>
            </w:r>
          </w:p>
        </w:tc>
      </w:tr>
      <w:tr w:rsidR="00343ABB" w:rsidRPr="006E0D8B" w:rsidTr="00343ABB">
        <w:tc>
          <w:tcPr>
            <w:tcW w:w="0" w:type="auto"/>
            <w:vMerge w:val="restart"/>
            <w:vAlign w:val="center"/>
          </w:tcPr>
          <w:p w:rsidR="008E189F" w:rsidRPr="00343ABB" w:rsidRDefault="008E189F" w:rsidP="00993F77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Mantenimiento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aire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Mitigación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 xml:space="preserve">Humedecer </w:t>
            </w:r>
            <w:r w:rsidR="00434FC2">
              <w:rPr>
                <w:rFonts w:cstheme="minorHAnsi"/>
                <w:sz w:val="18"/>
                <w:szCs w:val="18"/>
              </w:rPr>
              <w:t>el</w:t>
            </w:r>
            <w:r w:rsidRPr="00343ABB">
              <w:rPr>
                <w:rFonts w:cstheme="minorHAnsi"/>
                <w:sz w:val="18"/>
                <w:szCs w:val="18"/>
              </w:rPr>
              <w:t xml:space="preserve"> terreno y/o establecer áreas verdes.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lastRenderedPageBreak/>
              <w:t>Deberá exigirse el uso de unidades en perfecto estado de funcionamiento y mantenimiento.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suelo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Preventivos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Instalación de contenedores de residuos sólidos.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Capacitación a personal encargado del mantenimiento sobre el adecuado manejo de los residuos sólidos.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Afectación a la salud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Social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Preventivos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Instalación de carteles informativos y preventivos en el área donde se realizarán los trabajos de mantenimiento.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Todos los trabajadores deberán usar adecuadamente sus EPP.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Cercar el área de trabajo y no permitir el acceso a personal no autorizado.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Contar con servicio médico y un botiquín de primeros auxilios.</w:t>
            </w:r>
          </w:p>
        </w:tc>
      </w:tr>
      <w:tr w:rsidR="006E0D8B" w:rsidRPr="006E0D8B" w:rsidTr="00343ABB"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43ABB">
              <w:rPr>
                <w:rFonts w:cstheme="minorHAnsi"/>
                <w:b/>
                <w:sz w:val="18"/>
                <w:szCs w:val="18"/>
              </w:rPr>
              <w:t>Abandono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aire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Mitigación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Riego continuo para humedecer el material barrido.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 xml:space="preserve">Los vehículos utilizados </w:t>
            </w:r>
            <w:r w:rsidR="00434FC2">
              <w:rPr>
                <w:rFonts w:cstheme="minorHAnsi"/>
                <w:sz w:val="18"/>
                <w:szCs w:val="18"/>
              </w:rPr>
              <w:t xml:space="preserve">para el traslado de materiales, equipos y maquinarias, </w:t>
            </w:r>
            <w:r w:rsidRPr="00343ABB">
              <w:rPr>
                <w:rFonts w:cstheme="minorHAnsi"/>
                <w:sz w:val="18"/>
                <w:szCs w:val="18"/>
              </w:rPr>
              <w:t>deben cumplir con</w:t>
            </w:r>
            <w:r w:rsidR="00434FC2">
              <w:rPr>
                <w:rFonts w:cstheme="minorHAnsi"/>
                <w:sz w:val="18"/>
                <w:szCs w:val="18"/>
              </w:rPr>
              <w:t>tar sus revisiones técnicas al día</w:t>
            </w:r>
            <w:r w:rsidRPr="00343ABB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343ABB" w:rsidRPr="006E0D8B" w:rsidTr="00343ABB"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Contaminación del suelo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Físico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Preventivos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Instalación de contenedores de residuos sólidos.</w:t>
            </w:r>
          </w:p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Capacitación a personal encargado sobre el adecuado manejo de los residuos sólidos.</w:t>
            </w:r>
          </w:p>
        </w:tc>
      </w:tr>
      <w:tr w:rsidR="00343ABB" w:rsidRPr="006E0D8B" w:rsidTr="00343ABB">
        <w:trPr>
          <w:trHeight w:val="492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Perdida de cobertura vegetal</w:t>
            </w:r>
          </w:p>
        </w:tc>
        <w:tc>
          <w:tcPr>
            <w:tcW w:w="0" w:type="auto"/>
            <w:vMerge w:val="restart"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Biológico</w:t>
            </w: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Preventivo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Charlas a los trabajadores sobre el desbroce innecesario de la vegetación</w:t>
            </w:r>
          </w:p>
        </w:tc>
      </w:tr>
      <w:tr w:rsidR="00343ABB" w:rsidRPr="006E0D8B" w:rsidTr="00343ABB">
        <w:trPr>
          <w:trHeight w:val="492"/>
        </w:trPr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E189F" w:rsidRPr="00343ABB" w:rsidRDefault="008E189F" w:rsidP="006E0D8B">
            <w:pPr>
              <w:pStyle w:val="Prrafodelista"/>
              <w:ind w:left="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E189F" w:rsidRPr="00343ABB" w:rsidRDefault="008E189F" w:rsidP="006E0D8B">
            <w:pPr>
              <w:jc w:val="center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Correctivo</w:t>
            </w:r>
          </w:p>
        </w:tc>
        <w:tc>
          <w:tcPr>
            <w:tcW w:w="3172" w:type="dxa"/>
            <w:vAlign w:val="center"/>
          </w:tcPr>
          <w:p w:rsidR="008E189F" w:rsidRPr="00343ABB" w:rsidRDefault="008E189F" w:rsidP="008A2E05">
            <w:pPr>
              <w:pStyle w:val="Prrafodelista"/>
              <w:numPr>
                <w:ilvl w:val="0"/>
                <w:numId w:val="8"/>
              </w:numPr>
              <w:ind w:left="264" w:hanging="264"/>
              <w:jc w:val="both"/>
              <w:rPr>
                <w:rFonts w:cstheme="minorHAnsi"/>
                <w:sz w:val="18"/>
                <w:szCs w:val="18"/>
              </w:rPr>
            </w:pPr>
            <w:r w:rsidRPr="00343ABB">
              <w:rPr>
                <w:rFonts w:cstheme="minorHAnsi"/>
                <w:sz w:val="18"/>
                <w:szCs w:val="18"/>
              </w:rPr>
              <w:t>Reposición de cobertura vegetal en el área afectada</w:t>
            </w:r>
          </w:p>
        </w:tc>
      </w:tr>
    </w:tbl>
    <w:p w:rsidR="008E189F" w:rsidRPr="008E189F" w:rsidRDefault="00343ABB" w:rsidP="00343ABB">
      <w:r w:rsidRPr="00BA2211">
        <w:rPr>
          <w:sz w:val="16"/>
        </w:rPr>
        <w:t>Fuente: Elaboración Propia</w:t>
      </w:r>
    </w:p>
    <w:p w:rsidR="004245FB" w:rsidRDefault="004245FB" w:rsidP="004245FB">
      <w:pPr>
        <w:shd w:val="clear" w:color="auto" w:fill="FFFFFF"/>
        <w:spacing w:after="0" w:line="240" w:lineRule="auto"/>
        <w:jc w:val="both"/>
      </w:pPr>
      <w:r w:rsidRPr="008E189F">
        <w:t>En el Orden Social y Cultural, es recomendable elaborar un Código de Conducta,</w:t>
      </w:r>
      <w:r>
        <w:t xml:space="preserve"> </w:t>
      </w:r>
      <w:r w:rsidRPr="008E189F">
        <w:t>incluyendo los siguientes aspectos:</w:t>
      </w:r>
    </w:p>
    <w:p w:rsidR="004245FB" w:rsidRPr="008E189F" w:rsidRDefault="004245FB" w:rsidP="004245FB">
      <w:pPr>
        <w:shd w:val="clear" w:color="auto" w:fill="FFFFFF"/>
        <w:spacing w:after="0" w:line="240" w:lineRule="auto"/>
        <w:jc w:val="both"/>
      </w:pPr>
    </w:p>
    <w:p w:rsidR="004245FB" w:rsidRPr="008E189F" w:rsidRDefault="004245FB" w:rsidP="004245FB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</w:pPr>
      <w:r w:rsidRPr="008E189F">
        <w:t>Una explicación detallada de lo que significa un trato respetuoso con los pobladores</w:t>
      </w:r>
      <w:r>
        <w:t xml:space="preserve"> </w:t>
      </w:r>
      <w:r w:rsidRPr="008E189F">
        <w:t>de las localidades: el lenguaje a emplear y las formas de saludo y cortesía locales,</w:t>
      </w:r>
      <w:r>
        <w:t xml:space="preserve"> </w:t>
      </w:r>
      <w:r w:rsidRPr="008E189F">
        <w:t>entre otros temas.</w:t>
      </w:r>
    </w:p>
    <w:p w:rsidR="004245FB" w:rsidRPr="008E189F" w:rsidRDefault="004245FB" w:rsidP="004245FB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</w:pPr>
      <w:r w:rsidRPr="008E189F">
        <w:t>Una descripción detallada de las conductas que no deben producirse en el trato con</w:t>
      </w:r>
      <w:r>
        <w:t xml:space="preserve"> </w:t>
      </w:r>
      <w:r w:rsidRPr="008E189F">
        <w:t>los pobladores. Definir la política del proyecto sobre la ingestión de bebidas</w:t>
      </w:r>
      <w:r>
        <w:t xml:space="preserve"> </w:t>
      </w:r>
      <w:r w:rsidRPr="008E189F">
        <w:t>alcohólicas en vías públicas, la relación del personal masculino con mujeres de la</w:t>
      </w:r>
      <w:r>
        <w:t xml:space="preserve"> </w:t>
      </w:r>
      <w:r w:rsidRPr="008E189F">
        <w:t>zona y el uso de lenguaje verbal y no verbal inapropiado, entre otros aspectos.</w:t>
      </w:r>
      <w:r>
        <w:t xml:space="preserve"> </w:t>
      </w:r>
      <w:r w:rsidRPr="008E189F">
        <w:t>Dependiendo del tipo de población rural-urbana y del modelo de asentamiento</w:t>
      </w:r>
      <w:r>
        <w:t xml:space="preserve"> </w:t>
      </w:r>
      <w:r w:rsidRPr="008E189F">
        <w:t>escogido para el personal de la empresa (campamento aislado/no aislado o</w:t>
      </w:r>
      <w:r>
        <w:t xml:space="preserve"> </w:t>
      </w:r>
      <w:r w:rsidRPr="008E189F">
        <w:t>viviendas en zona urbana), las medidas con respecto a las prohibiciones pueden</w:t>
      </w:r>
      <w:r>
        <w:t xml:space="preserve"> </w:t>
      </w:r>
      <w:r w:rsidRPr="008E189F">
        <w:t>variar.</w:t>
      </w:r>
    </w:p>
    <w:p w:rsidR="004245FB" w:rsidRPr="008E189F" w:rsidRDefault="004245FB" w:rsidP="004245FB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284" w:hanging="284"/>
        <w:jc w:val="both"/>
      </w:pPr>
      <w:r w:rsidRPr="008E189F">
        <w:t>Una descripción del mecanismo a seguir en caso de accidentes, daños a la</w:t>
      </w:r>
      <w:r>
        <w:t xml:space="preserve"> </w:t>
      </w:r>
      <w:r w:rsidRPr="008E189F">
        <w:t>propiedad o conflictos en general entre el personal y miembros de la comunidad.</w:t>
      </w:r>
    </w:p>
    <w:p w:rsidR="004245FB" w:rsidRPr="008E189F" w:rsidRDefault="004245FB" w:rsidP="004245FB">
      <w:pPr>
        <w:pStyle w:val="Prrafodelista"/>
        <w:numPr>
          <w:ilvl w:val="0"/>
          <w:numId w:val="6"/>
        </w:numPr>
        <w:shd w:val="clear" w:color="auto" w:fill="FFFFFF"/>
        <w:spacing w:line="240" w:lineRule="auto"/>
        <w:ind w:left="284" w:hanging="284"/>
        <w:jc w:val="both"/>
      </w:pPr>
      <w:r w:rsidRPr="008E189F">
        <w:t>Un listado de las sanciones al personal en caso de infringir las normas establecidas</w:t>
      </w:r>
      <w:r>
        <w:t xml:space="preserve"> </w:t>
      </w:r>
      <w:r w:rsidRPr="008E189F">
        <w:t>en el trato con los pobladores.</w:t>
      </w:r>
      <w:r>
        <w:t xml:space="preserve"> </w:t>
      </w:r>
      <w:r w:rsidRPr="008E189F">
        <w:t xml:space="preserve">Conviene anotar que el planteamiento de medidas se realiza de </w:t>
      </w:r>
      <w:r w:rsidRPr="008E189F">
        <w:lastRenderedPageBreak/>
        <w:t>conformidad con las</w:t>
      </w:r>
      <w:r>
        <w:t xml:space="preserve"> </w:t>
      </w:r>
      <w:r w:rsidRPr="008E189F">
        <w:t>prescripciones ambientales contenidas en el Manual Ambiental para el Diseño y</w:t>
      </w:r>
      <w:r>
        <w:t xml:space="preserve"> </w:t>
      </w:r>
      <w:r w:rsidRPr="008E189F">
        <w:t>Construcción de Vías aprobado y publicado por la Dirección General de Medio Ambiente del MTC, así como la Actualización de Términos de Referencia para estudios</w:t>
      </w:r>
      <w:r>
        <w:t xml:space="preserve"> </w:t>
      </w:r>
      <w:r w:rsidRPr="008E189F">
        <w:t>definitivos de Impacto Ambiental en la rehabilitación o mejoramiento de Carreteras de</w:t>
      </w:r>
      <w:r>
        <w:t xml:space="preserve"> </w:t>
      </w:r>
      <w:proofErr w:type="spellStart"/>
      <w:r w:rsidRPr="008E189F">
        <w:t>lPERT</w:t>
      </w:r>
      <w:proofErr w:type="spellEnd"/>
      <w:r w:rsidRPr="008E189F">
        <w:t>.</w:t>
      </w:r>
    </w:p>
    <w:p w:rsidR="00FD7595" w:rsidRPr="008E189F" w:rsidRDefault="00FD7595"/>
    <w:sectPr w:rsidR="00FD7595" w:rsidRPr="008E189F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C81" w:rsidRDefault="00657C81" w:rsidP="002011C4">
      <w:pPr>
        <w:spacing w:after="0" w:line="240" w:lineRule="auto"/>
      </w:pPr>
      <w:r>
        <w:separator/>
      </w:r>
    </w:p>
  </w:endnote>
  <w:endnote w:type="continuationSeparator" w:id="0">
    <w:p w:rsidR="00657C81" w:rsidRDefault="00657C81" w:rsidP="0020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53C" w:rsidRPr="00A4353C" w:rsidRDefault="00A4353C" w:rsidP="00A4353C">
    <w:pPr>
      <w:pStyle w:val="Piedepgina"/>
      <w:pBdr>
        <w:top w:val="thinThickSmallGap" w:sz="24" w:space="1" w:color="1F497D" w:themeColor="text2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246E2" w:rsidRPr="00B246E2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C81" w:rsidRDefault="00657C81" w:rsidP="002011C4">
      <w:pPr>
        <w:spacing w:after="0" w:line="240" w:lineRule="auto"/>
      </w:pPr>
      <w:r>
        <w:separator/>
      </w:r>
    </w:p>
  </w:footnote>
  <w:footnote w:type="continuationSeparator" w:id="0">
    <w:p w:rsidR="00657C81" w:rsidRDefault="00657C81" w:rsidP="0020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C4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BE5DC0" wp14:editId="311F6D3C">
              <wp:simplePos x="0" y="0"/>
              <wp:positionH relativeFrom="column">
                <wp:posOffset>2202152</wp:posOffset>
              </wp:positionH>
              <wp:positionV relativeFrom="paragraph">
                <wp:posOffset>-251687</wp:posOffset>
              </wp:positionV>
              <wp:extent cx="3220871" cy="558165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0871" cy="558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3EEA" w:rsidRDefault="00A53EEA" w:rsidP="00A53EEA">
                          <w:pPr>
                            <w:jc w:val="both"/>
                          </w:pPr>
                          <w:r>
                            <w:rPr>
                              <w:b/>
                              <w:sz w:val="18"/>
                            </w:rPr>
                            <w:t>E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>valuación Preliminar del Proyecto de Creación del puente carrozable  San Felipe, distrito de Santiago de Chocorvos, Provincia de Huaytará, Departamento de Huancavelica.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73.4pt;margin-top:-19.8pt;width:253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" filled="f" stroked="f" strokeweight=".5pt">
              <v:textbox>
                <w:txbxContent>
                  <w:p w:rsidR="00A53EEA" w:rsidRDefault="00A53EEA" w:rsidP="00A53EEA">
                    <w:pPr>
                      <w:jc w:val="both"/>
                    </w:pPr>
                    <w:r>
                      <w:rPr>
                        <w:b/>
                        <w:sz w:val="18"/>
                      </w:rPr>
                      <w:t>E</w:t>
                    </w:r>
                    <w:r w:rsidRPr="002011C4">
                      <w:rPr>
                        <w:b/>
                        <w:sz w:val="18"/>
                      </w:rPr>
                      <w:t>valuación Preliminar del Proyecto de Creación del puente carrozable  San Felipe, distrito de Santiago de Chocorvos, Provincia de Huaytará, Departamento de Huancavelica.</w:t>
                    </w:r>
                  </w:p>
                </w:txbxContent>
              </v:textbox>
            </v:shape>
          </w:pict>
        </mc:Fallback>
      </mc:AlternateContent>
    </w:r>
    <w:r w:rsidRPr="002011C4">
      <w:rPr>
        <w:b/>
        <w:noProof/>
        <w:sz w:val="18"/>
        <w:lang w:eastAsia="es-PE"/>
      </w:rPr>
      <w:drawing>
        <wp:anchor distT="0" distB="0" distL="114300" distR="114300" simplePos="0" relativeHeight="251658240" behindDoc="0" locked="0" layoutInCell="1" allowOverlap="1" wp14:anchorId="42D195A3" wp14:editId="7D6661AE">
          <wp:simplePos x="0" y="0"/>
          <wp:positionH relativeFrom="column">
            <wp:posOffset>104140</wp:posOffset>
          </wp:positionH>
          <wp:positionV relativeFrom="paragraph">
            <wp:posOffset>-274320</wp:posOffset>
          </wp:positionV>
          <wp:extent cx="532130" cy="584835"/>
          <wp:effectExtent l="0" t="7303" r="0" b="0"/>
          <wp:wrapNone/>
          <wp:docPr id="1" name="Imagen 1" descr="C:\Users\User\Desktop\20161107_1107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20161107_110746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7054" b="87597" l="29918" r="78149">
                                <a14:foregroundMark x1="69307" y1="45123" x2="71269" y2="51938"/>
                                <a14:backgroundMark x1="69089" y1="52229" x2="69307" y2="49839"/>
                                <a14:backgroundMark x1="71076" y1="45381" x2="71076" y2="46189"/>
                              </a14:backgroundRemoval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27" t="17571" r="22632" b="12354"/>
                  <a:stretch/>
                </pic:blipFill>
                <pic:spPr bwMode="auto">
                  <a:xfrm rot="5400000">
                    <a:off x="0" y="0"/>
                    <a:ext cx="5321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3EEA" w:rsidRPr="00A53EEA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0932C6" wp14:editId="42EDB996">
              <wp:simplePos x="0" y="0"/>
              <wp:positionH relativeFrom="column">
                <wp:posOffset>3972</wp:posOffset>
              </wp:positionH>
              <wp:positionV relativeFrom="paragraph">
                <wp:posOffset>54610</wp:posOffset>
              </wp:positionV>
              <wp:extent cx="5380074" cy="0"/>
              <wp:effectExtent l="0" t="19050" r="11430" b="3810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80074" cy="0"/>
                      </a:xfrm>
                      <a:prstGeom prst="line">
                        <a:avLst/>
                      </a:prstGeom>
                      <a:ln w="57150" cmpd="thinThick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.3pt" to="4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" strokecolor="#243f60 [1604]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E8B"/>
    <w:multiLevelType w:val="hybridMultilevel"/>
    <w:tmpl w:val="DA103076"/>
    <w:lvl w:ilvl="0" w:tplc="2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126DC2"/>
    <w:multiLevelType w:val="hybridMultilevel"/>
    <w:tmpl w:val="15F4B3A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2AB4E19"/>
    <w:multiLevelType w:val="multilevel"/>
    <w:tmpl w:val="8A30C4B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385D74EE"/>
    <w:multiLevelType w:val="hybridMultilevel"/>
    <w:tmpl w:val="531009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2611D"/>
    <w:multiLevelType w:val="hybridMultilevel"/>
    <w:tmpl w:val="AD9013E8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9B06C86"/>
    <w:multiLevelType w:val="hybridMultilevel"/>
    <w:tmpl w:val="59B0144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F36284"/>
    <w:multiLevelType w:val="hybridMultilevel"/>
    <w:tmpl w:val="129E90A4"/>
    <w:lvl w:ilvl="0" w:tplc="6D5A967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F1C45"/>
    <w:multiLevelType w:val="hybridMultilevel"/>
    <w:tmpl w:val="852C6AD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C4"/>
    <w:rsid w:val="001C16FD"/>
    <w:rsid w:val="001F76F7"/>
    <w:rsid w:val="002011C4"/>
    <w:rsid w:val="00250EA8"/>
    <w:rsid w:val="002B571E"/>
    <w:rsid w:val="00343ABB"/>
    <w:rsid w:val="004245FB"/>
    <w:rsid w:val="00434FC2"/>
    <w:rsid w:val="00615B08"/>
    <w:rsid w:val="00657C81"/>
    <w:rsid w:val="006E0D8B"/>
    <w:rsid w:val="008A2E05"/>
    <w:rsid w:val="008E189F"/>
    <w:rsid w:val="00993F77"/>
    <w:rsid w:val="00A4353C"/>
    <w:rsid w:val="00A53EEA"/>
    <w:rsid w:val="00B246E2"/>
    <w:rsid w:val="00B5429A"/>
    <w:rsid w:val="00B61EA5"/>
    <w:rsid w:val="00CB5F56"/>
    <w:rsid w:val="00EB714E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8E1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8E189F"/>
  </w:style>
  <w:style w:type="character" w:customStyle="1" w:styleId="l6">
    <w:name w:val="l6"/>
    <w:basedOn w:val="Fuentedeprrafopredeter"/>
    <w:rsid w:val="008E189F"/>
  </w:style>
  <w:style w:type="character" w:customStyle="1" w:styleId="apple-converted-space">
    <w:name w:val="apple-converted-space"/>
    <w:basedOn w:val="Fuentedeprrafopredeter"/>
    <w:rsid w:val="008E189F"/>
  </w:style>
  <w:style w:type="character" w:customStyle="1" w:styleId="l7">
    <w:name w:val="l7"/>
    <w:basedOn w:val="Fuentedeprrafopredeter"/>
    <w:rsid w:val="008E189F"/>
  </w:style>
  <w:style w:type="character" w:customStyle="1" w:styleId="l8">
    <w:name w:val="l8"/>
    <w:basedOn w:val="Fuentedeprrafopredeter"/>
    <w:rsid w:val="008E189F"/>
  </w:style>
  <w:style w:type="character" w:customStyle="1" w:styleId="l9">
    <w:name w:val="l9"/>
    <w:basedOn w:val="Fuentedeprrafopredeter"/>
    <w:rsid w:val="008E1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8E1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">
    <w:name w:val="a"/>
    <w:basedOn w:val="Fuentedeprrafopredeter"/>
    <w:rsid w:val="008E189F"/>
  </w:style>
  <w:style w:type="character" w:customStyle="1" w:styleId="l6">
    <w:name w:val="l6"/>
    <w:basedOn w:val="Fuentedeprrafopredeter"/>
    <w:rsid w:val="008E189F"/>
  </w:style>
  <w:style w:type="character" w:customStyle="1" w:styleId="apple-converted-space">
    <w:name w:val="apple-converted-space"/>
    <w:basedOn w:val="Fuentedeprrafopredeter"/>
    <w:rsid w:val="008E189F"/>
  </w:style>
  <w:style w:type="character" w:customStyle="1" w:styleId="l7">
    <w:name w:val="l7"/>
    <w:basedOn w:val="Fuentedeprrafopredeter"/>
    <w:rsid w:val="008E189F"/>
  </w:style>
  <w:style w:type="character" w:customStyle="1" w:styleId="l8">
    <w:name w:val="l8"/>
    <w:basedOn w:val="Fuentedeprrafopredeter"/>
    <w:rsid w:val="008E189F"/>
  </w:style>
  <w:style w:type="character" w:customStyle="1" w:styleId="l9">
    <w:name w:val="l9"/>
    <w:basedOn w:val="Fuentedeprrafopredeter"/>
    <w:rsid w:val="008E1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5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6006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01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0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96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19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2197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619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82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3744701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7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52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099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86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69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5998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85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96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490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42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1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811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OMAR</cp:lastModifiedBy>
  <cp:revision>10</cp:revision>
  <dcterms:created xsi:type="dcterms:W3CDTF">2016-11-07T15:47:00Z</dcterms:created>
  <dcterms:modified xsi:type="dcterms:W3CDTF">2016-11-09T20:15:00Z</dcterms:modified>
</cp:coreProperties>
</file>